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DFBFE" w14:textId="77777777" w:rsidR="004C6265" w:rsidRPr="004C6265" w:rsidRDefault="004C6265">
      <w:pPr>
        <w:rPr>
          <w:rFonts w:ascii="Times New Roman" w:hAnsi="Times New Roman" w:cs="Times New Roman"/>
          <w:color w:val="000000"/>
          <w:sz w:val="24"/>
          <w:szCs w:val="24"/>
          <w:shd w:val="clear" w:color="auto" w:fill="FFFFFF"/>
        </w:rPr>
      </w:pPr>
    </w:p>
    <w:p w14:paraId="7AC57B44" w14:textId="77777777" w:rsidR="004C6265" w:rsidRPr="004C6265" w:rsidRDefault="004C6265">
      <w:pPr>
        <w:rPr>
          <w:rFonts w:ascii="Times New Roman" w:hAnsi="Times New Roman" w:cs="Times New Roman"/>
          <w:color w:val="000000"/>
          <w:sz w:val="24"/>
          <w:szCs w:val="24"/>
          <w:shd w:val="clear" w:color="auto" w:fill="FFFFFF"/>
        </w:rPr>
      </w:pPr>
    </w:p>
    <w:p w14:paraId="36BABC3C" w14:textId="77777777" w:rsidR="004C6265" w:rsidRPr="004C6265" w:rsidRDefault="004C6265" w:rsidP="004C6265">
      <w:pPr>
        <w:spacing w:after="0" w:line="240" w:lineRule="auto"/>
        <w:jc w:val="center"/>
        <w:rPr>
          <w:rFonts w:ascii="Times New Roman" w:eastAsia="Times New Roman" w:hAnsi="Times New Roman" w:cs="Times New Roman"/>
          <w:color w:val="000000"/>
          <w:sz w:val="24"/>
          <w:szCs w:val="24"/>
          <w:lang w:eastAsia="es-CO"/>
        </w:rPr>
      </w:pPr>
      <w:r w:rsidRPr="004C6265">
        <w:rPr>
          <w:rFonts w:ascii="Times New Roman" w:eastAsia="Times New Roman" w:hAnsi="Times New Roman" w:cs="Times New Roman"/>
          <w:b/>
          <w:bCs/>
          <w:color w:val="0000FF"/>
          <w:sz w:val="24"/>
          <w:szCs w:val="24"/>
          <w:lang w:eastAsia="es-CO"/>
        </w:rPr>
        <w:t xml:space="preserve">BOLETÍN </w:t>
      </w:r>
      <w:proofErr w:type="spellStart"/>
      <w:r w:rsidRPr="004C6265">
        <w:rPr>
          <w:rFonts w:ascii="Times New Roman" w:eastAsia="Times New Roman" w:hAnsi="Times New Roman" w:cs="Times New Roman"/>
          <w:b/>
          <w:bCs/>
          <w:color w:val="0000FF"/>
          <w:sz w:val="24"/>
          <w:szCs w:val="24"/>
          <w:lang w:eastAsia="es-CO"/>
        </w:rPr>
        <w:t>Nº</w:t>
      </w:r>
      <w:proofErr w:type="spellEnd"/>
      <w:r w:rsidRPr="004C6265">
        <w:rPr>
          <w:rFonts w:ascii="Times New Roman" w:eastAsia="Times New Roman" w:hAnsi="Times New Roman" w:cs="Times New Roman"/>
          <w:b/>
          <w:bCs/>
          <w:color w:val="0000FF"/>
          <w:sz w:val="24"/>
          <w:szCs w:val="24"/>
          <w:lang w:eastAsia="es-CO"/>
        </w:rPr>
        <w:t xml:space="preserve"> 147</w:t>
      </w:r>
    </w:p>
    <w:p w14:paraId="34D41C72" w14:textId="77777777" w:rsidR="004C6265" w:rsidRPr="004C6265" w:rsidRDefault="004C6265" w:rsidP="004C6265">
      <w:pPr>
        <w:spacing w:after="0" w:line="240" w:lineRule="auto"/>
        <w:jc w:val="center"/>
        <w:rPr>
          <w:rFonts w:ascii="Times New Roman" w:eastAsia="Times New Roman" w:hAnsi="Times New Roman" w:cs="Times New Roman"/>
          <w:color w:val="000000"/>
          <w:sz w:val="24"/>
          <w:szCs w:val="24"/>
          <w:lang w:eastAsia="es-CO"/>
        </w:rPr>
      </w:pPr>
      <w:r w:rsidRPr="004C6265">
        <w:rPr>
          <w:rFonts w:ascii="Times New Roman" w:eastAsia="Times New Roman" w:hAnsi="Times New Roman" w:cs="Times New Roman"/>
          <w:b/>
          <w:bCs/>
          <w:color w:val="0000FF"/>
          <w:sz w:val="24"/>
          <w:szCs w:val="24"/>
          <w:lang w:eastAsia="es-CO"/>
        </w:rPr>
        <w:t>01-10-2020</w:t>
      </w:r>
    </w:p>
    <w:p w14:paraId="4854024D" w14:textId="77777777" w:rsidR="004C6265" w:rsidRPr="004C6265" w:rsidRDefault="004C6265" w:rsidP="004C6265">
      <w:pPr>
        <w:spacing w:after="0" w:line="240" w:lineRule="auto"/>
        <w:jc w:val="center"/>
        <w:rPr>
          <w:rFonts w:ascii="Times New Roman" w:eastAsia="Times New Roman" w:hAnsi="Times New Roman" w:cs="Times New Roman"/>
          <w:color w:val="000000"/>
          <w:sz w:val="24"/>
          <w:szCs w:val="24"/>
          <w:lang w:eastAsia="es-CO"/>
        </w:rPr>
      </w:pPr>
      <w:r w:rsidRPr="004C6265">
        <w:rPr>
          <w:rFonts w:ascii="Times New Roman" w:eastAsia="Times New Roman" w:hAnsi="Times New Roman" w:cs="Times New Roman"/>
          <w:b/>
          <w:bCs/>
          <w:color w:val="0000FF"/>
          <w:sz w:val="24"/>
          <w:szCs w:val="24"/>
          <w:lang w:eastAsia="es-CO"/>
        </w:rPr>
        <w:t>CORTE CONSTITUCIONAL</w:t>
      </w:r>
    </w:p>
    <w:p w14:paraId="59E92959" w14:textId="77777777" w:rsidR="004C6265" w:rsidRPr="004C6265" w:rsidRDefault="004C6265" w:rsidP="004C6265">
      <w:pPr>
        <w:spacing w:after="0" w:line="240" w:lineRule="auto"/>
        <w:jc w:val="center"/>
        <w:rPr>
          <w:rFonts w:ascii="Times New Roman" w:eastAsia="Times New Roman" w:hAnsi="Times New Roman" w:cs="Times New Roman"/>
          <w:color w:val="000000"/>
          <w:sz w:val="24"/>
          <w:szCs w:val="24"/>
          <w:lang w:eastAsia="es-CO"/>
        </w:rPr>
      </w:pPr>
      <w:r w:rsidRPr="004C6265">
        <w:rPr>
          <w:rFonts w:ascii="Times New Roman" w:eastAsia="Times New Roman" w:hAnsi="Times New Roman" w:cs="Times New Roman"/>
          <w:color w:val="0000FF"/>
          <w:sz w:val="24"/>
          <w:szCs w:val="24"/>
          <w:lang w:eastAsia="es-CO"/>
        </w:rPr>
        <w:t> </w:t>
      </w:r>
    </w:p>
    <w:p w14:paraId="60E43251" w14:textId="77777777" w:rsidR="004C6265" w:rsidRPr="004C6265" w:rsidRDefault="004C6265" w:rsidP="004C6265">
      <w:pPr>
        <w:spacing w:after="0" w:line="240" w:lineRule="auto"/>
        <w:jc w:val="center"/>
        <w:rPr>
          <w:rFonts w:ascii="Times New Roman" w:eastAsia="Times New Roman" w:hAnsi="Times New Roman" w:cs="Times New Roman"/>
          <w:color w:val="000000"/>
          <w:sz w:val="24"/>
          <w:szCs w:val="24"/>
          <w:lang w:eastAsia="es-CO"/>
        </w:rPr>
      </w:pPr>
      <w:r w:rsidRPr="004C6265">
        <w:rPr>
          <w:rFonts w:ascii="Times New Roman" w:eastAsia="Times New Roman" w:hAnsi="Times New Roman" w:cs="Times New Roman"/>
          <w:color w:val="000000"/>
          <w:sz w:val="24"/>
          <w:szCs w:val="24"/>
          <w:lang w:eastAsia="es-CO"/>
        </w:rPr>
        <w:t> </w:t>
      </w:r>
    </w:p>
    <w:p w14:paraId="2D6B385A" w14:textId="77777777" w:rsidR="004C6265" w:rsidRPr="004C6265" w:rsidRDefault="004C6265" w:rsidP="004C6265">
      <w:pPr>
        <w:spacing w:after="0" w:line="240" w:lineRule="auto"/>
        <w:jc w:val="center"/>
        <w:rPr>
          <w:rFonts w:ascii="Times New Roman" w:eastAsia="Times New Roman" w:hAnsi="Times New Roman" w:cs="Times New Roman"/>
          <w:color w:val="000000"/>
          <w:sz w:val="24"/>
          <w:szCs w:val="24"/>
          <w:lang w:eastAsia="es-CO"/>
        </w:rPr>
      </w:pPr>
      <w:r w:rsidRPr="004C6265">
        <w:rPr>
          <w:rFonts w:ascii="Times New Roman" w:eastAsia="Times New Roman" w:hAnsi="Times New Roman" w:cs="Times New Roman"/>
          <w:b/>
          <w:bCs/>
          <w:color w:val="000000"/>
          <w:sz w:val="24"/>
          <w:szCs w:val="24"/>
          <w:lang w:eastAsia="es-CO"/>
        </w:rPr>
        <w:t>Días sin IVA y otros alivios tributarios decretados en el marco de la emergencia, son constitucionales, e inciden en la reactivación económica del país</w:t>
      </w:r>
    </w:p>
    <w:p w14:paraId="055D8FE4" w14:textId="77777777" w:rsidR="004C6265" w:rsidRPr="004C6265" w:rsidRDefault="004C6265" w:rsidP="004C6265">
      <w:pPr>
        <w:spacing w:after="0" w:line="240" w:lineRule="auto"/>
        <w:jc w:val="both"/>
        <w:rPr>
          <w:rFonts w:ascii="Times New Roman" w:eastAsia="Times New Roman" w:hAnsi="Times New Roman" w:cs="Times New Roman"/>
          <w:color w:val="000000"/>
          <w:sz w:val="24"/>
          <w:szCs w:val="24"/>
          <w:lang w:eastAsia="es-CO"/>
        </w:rPr>
      </w:pPr>
      <w:r w:rsidRPr="004C6265">
        <w:rPr>
          <w:rFonts w:ascii="Times New Roman" w:eastAsia="Times New Roman" w:hAnsi="Times New Roman" w:cs="Times New Roman"/>
          <w:b/>
          <w:bCs/>
          <w:color w:val="000000"/>
          <w:sz w:val="24"/>
          <w:szCs w:val="24"/>
          <w:lang w:eastAsia="es-CO"/>
        </w:rPr>
        <w:t> </w:t>
      </w:r>
    </w:p>
    <w:p w14:paraId="7165E455" w14:textId="77777777" w:rsidR="004C6265" w:rsidRPr="004C6265" w:rsidRDefault="004C6265" w:rsidP="004C6265">
      <w:pPr>
        <w:spacing w:after="0" w:line="240" w:lineRule="auto"/>
        <w:jc w:val="both"/>
        <w:rPr>
          <w:rFonts w:ascii="Times New Roman" w:eastAsia="Times New Roman" w:hAnsi="Times New Roman" w:cs="Times New Roman"/>
          <w:color w:val="000000"/>
          <w:sz w:val="24"/>
          <w:szCs w:val="24"/>
          <w:lang w:eastAsia="es-CO"/>
        </w:rPr>
      </w:pPr>
      <w:r w:rsidRPr="004C6265">
        <w:rPr>
          <w:rFonts w:ascii="Times New Roman" w:eastAsia="Times New Roman" w:hAnsi="Times New Roman" w:cs="Times New Roman"/>
          <w:b/>
          <w:bCs/>
          <w:color w:val="000000"/>
          <w:sz w:val="24"/>
          <w:szCs w:val="24"/>
          <w:lang w:eastAsia="es-CO"/>
        </w:rPr>
        <w:t>Boletín No. 147</w:t>
      </w:r>
    </w:p>
    <w:p w14:paraId="6CF58E28" w14:textId="77777777" w:rsidR="004C6265" w:rsidRPr="004C6265" w:rsidRDefault="004C6265" w:rsidP="004C6265">
      <w:pPr>
        <w:spacing w:after="0" w:line="240" w:lineRule="auto"/>
        <w:jc w:val="both"/>
        <w:rPr>
          <w:rFonts w:ascii="Times New Roman" w:eastAsia="Times New Roman" w:hAnsi="Times New Roman" w:cs="Times New Roman"/>
          <w:color w:val="000000"/>
          <w:sz w:val="24"/>
          <w:szCs w:val="24"/>
          <w:lang w:eastAsia="es-CO"/>
        </w:rPr>
      </w:pPr>
      <w:r w:rsidRPr="004C6265">
        <w:rPr>
          <w:rFonts w:ascii="Times New Roman" w:eastAsia="Times New Roman" w:hAnsi="Times New Roman" w:cs="Times New Roman"/>
          <w:color w:val="000000"/>
          <w:sz w:val="24"/>
          <w:szCs w:val="24"/>
          <w:lang w:eastAsia="es-CO"/>
        </w:rPr>
        <w:t> </w:t>
      </w:r>
    </w:p>
    <w:p w14:paraId="235B8959" w14:textId="77777777" w:rsidR="004C6265" w:rsidRPr="004C6265" w:rsidRDefault="004C6265" w:rsidP="004C6265">
      <w:pPr>
        <w:spacing w:after="0" w:line="240" w:lineRule="auto"/>
        <w:jc w:val="both"/>
        <w:rPr>
          <w:rFonts w:ascii="Times New Roman" w:eastAsia="Times New Roman" w:hAnsi="Times New Roman" w:cs="Times New Roman"/>
          <w:color w:val="000000"/>
          <w:sz w:val="24"/>
          <w:szCs w:val="24"/>
          <w:lang w:eastAsia="es-CO"/>
        </w:rPr>
      </w:pPr>
      <w:r w:rsidRPr="004C6265">
        <w:rPr>
          <w:rFonts w:ascii="Times New Roman" w:eastAsia="Times New Roman" w:hAnsi="Times New Roman" w:cs="Times New Roman"/>
          <w:color w:val="000000"/>
          <w:sz w:val="24"/>
          <w:szCs w:val="24"/>
          <w:lang w:eastAsia="es-CO"/>
        </w:rPr>
        <w:t>Bogotá, 1 de octubre de 2020</w:t>
      </w:r>
    </w:p>
    <w:p w14:paraId="09B0D5B4" w14:textId="77777777" w:rsidR="004C6265" w:rsidRPr="004C6265" w:rsidRDefault="004C6265" w:rsidP="004C6265">
      <w:pPr>
        <w:spacing w:after="0" w:line="240" w:lineRule="auto"/>
        <w:jc w:val="both"/>
        <w:rPr>
          <w:rFonts w:ascii="Times New Roman" w:eastAsia="Times New Roman" w:hAnsi="Times New Roman" w:cs="Times New Roman"/>
          <w:color w:val="000000"/>
          <w:sz w:val="24"/>
          <w:szCs w:val="24"/>
          <w:lang w:eastAsia="es-CO"/>
        </w:rPr>
      </w:pPr>
      <w:r w:rsidRPr="004C6265">
        <w:rPr>
          <w:rFonts w:ascii="Times New Roman" w:eastAsia="Times New Roman" w:hAnsi="Times New Roman" w:cs="Times New Roman"/>
          <w:color w:val="000000"/>
          <w:sz w:val="24"/>
          <w:szCs w:val="24"/>
          <w:lang w:eastAsia="es-CO"/>
        </w:rPr>
        <w:t> </w:t>
      </w:r>
    </w:p>
    <w:p w14:paraId="600320F9" w14:textId="77777777" w:rsidR="004C6265" w:rsidRPr="004C6265" w:rsidRDefault="004C6265" w:rsidP="004C6265">
      <w:pPr>
        <w:spacing w:after="0" w:line="240" w:lineRule="auto"/>
        <w:jc w:val="both"/>
        <w:rPr>
          <w:rFonts w:ascii="Times New Roman" w:eastAsia="Times New Roman" w:hAnsi="Times New Roman" w:cs="Times New Roman"/>
          <w:color w:val="000000"/>
          <w:sz w:val="24"/>
          <w:szCs w:val="24"/>
          <w:lang w:eastAsia="es-CO"/>
        </w:rPr>
      </w:pPr>
      <w:r w:rsidRPr="004C6265">
        <w:rPr>
          <w:rFonts w:ascii="Times New Roman" w:eastAsia="Times New Roman" w:hAnsi="Times New Roman" w:cs="Times New Roman"/>
          <w:color w:val="000000"/>
          <w:sz w:val="24"/>
          <w:szCs w:val="24"/>
          <w:lang w:eastAsia="es-CO"/>
        </w:rPr>
        <w:t>La Sala Plena declaró ajustado a la Constitución el Decreto Legislativo 682 de 2020 que estableció los tres días sin IVA entre otras medidas de alivio tributario definidas por el Gobierno nacional en el marco del Estado de Excepción.</w:t>
      </w:r>
    </w:p>
    <w:p w14:paraId="7314CE57" w14:textId="77777777" w:rsidR="004C6265" w:rsidRPr="004C6265" w:rsidRDefault="004C6265" w:rsidP="004C6265">
      <w:pPr>
        <w:spacing w:after="0" w:line="240" w:lineRule="auto"/>
        <w:jc w:val="both"/>
        <w:rPr>
          <w:rFonts w:ascii="Times New Roman" w:eastAsia="Times New Roman" w:hAnsi="Times New Roman" w:cs="Times New Roman"/>
          <w:color w:val="000000"/>
          <w:sz w:val="24"/>
          <w:szCs w:val="24"/>
          <w:lang w:eastAsia="es-CO"/>
        </w:rPr>
      </w:pPr>
      <w:r w:rsidRPr="004C6265">
        <w:rPr>
          <w:rFonts w:ascii="Times New Roman" w:eastAsia="Times New Roman" w:hAnsi="Times New Roman" w:cs="Times New Roman"/>
          <w:color w:val="000000"/>
          <w:sz w:val="24"/>
          <w:szCs w:val="24"/>
          <w:lang w:eastAsia="es-CO"/>
        </w:rPr>
        <w:t> </w:t>
      </w:r>
    </w:p>
    <w:p w14:paraId="003CD04D" w14:textId="77777777" w:rsidR="004C6265" w:rsidRPr="004C6265" w:rsidRDefault="004C6265" w:rsidP="004C6265">
      <w:pPr>
        <w:spacing w:after="0" w:line="240" w:lineRule="auto"/>
        <w:jc w:val="both"/>
        <w:rPr>
          <w:rFonts w:ascii="Times New Roman" w:eastAsia="Times New Roman" w:hAnsi="Times New Roman" w:cs="Times New Roman"/>
          <w:color w:val="000000"/>
          <w:sz w:val="24"/>
          <w:szCs w:val="24"/>
          <w:lang w:eastAsia="es-CO"/>
        </w:rPr>
      </w:pPr>
      <w:r w:rsidRPr="004C6265">
        <w:rPr>
          <w:rFonts w:ascii="Times New Roman" w:eastAsia="Times New Roman" w:hAnsi="Times New Roman" w:cs="Times New Roman"/>
          <w:color w:val="000000"/>
          <w:sz w:val="24"/>
          <w:szCs w:val="24"/>
          <w:lang w:eastAsia="es-CO"/>
        </w:rPr>
        <w:t>Con ponencia de la magistrada Diana Fajardo Rivera, la Corte declaró que el Decreto Legislativo 682 es compatible con la Constitución, en relación con las tres medidas tributarias establecidas: primero, la exención del IVA para un conjunto de bienes determinados, en tres fechas específicas del año en curso; segundo, la reducción a 0% de las tarifas del impuesto nacional al consumo en el expendio de comidas y bebidas, durante el resto de la presente anualidad; y tercero, la exclusión del IVA a los cánones de arrendamiento de locales comerciales hasta el 31 de julio de 2020.</w:t>
      </w:r>
    </w:p>
    <w:p w14:paraId="380FD4A4" w14:textId="77777777" w:rsidR="004C6265" w:rsidRPr="004C6265" w:rsidRDefault="004C6265" w:rsidP="004C6265">
      <w:pPr>
        <w:spacing w:after="0" w:line="240" w:lineRule="auto"/>
        <w:jc w:val="both"/>
        <w:rPr>
          <w:rFonts w:ascii="Times New Roman" w:eastAsia="Times New Roman" w:hAnsi="Times New Roman" w:cs="Times New Roman"/>
          <w:color w:val="000000"/>
          <w:sz w:val="24"/>
          <w:szCs w:val="24"/>
          <w:lang w:eastAsia="es-CO"/>
        </w:rPr>
      </w:pPr>
      <w:r w:rsidRPr="004C6265">
        <w:rPr>
          <w:rFonts w:ascii="Times New Roman" w:eastAsia="Times New Roman" w:hAnsi="Times New Roman" w:cs="Times New Roman"/>
          <w:color w:val="000000"/>
          <w:sz w:val="24"/>
          <w:szCs w:val="24"/>
          <w:lang w:eastAsia="es-CO"/>
        </w:rPr>
        <w:t> </w:t>
      </w:r>
    </w:p>
    <w:p w14:paraId="525D7A09" w14:textId="77777777" w:rsidR="004C6265" w:rsidRPr="004C6265" w:rsidRDefault="004C6265" w:rsidP="004C6265">
      <w:pPr>
        <w:spacing w:after="0" w:line="240" w:lineRule="auto"/>
        <w:jc w:val="both"/>
        <w:rPr>
          <w:rFonts w:ascii="Times New Roman" w:eastAsia="Times New Roman" w:hAnsi="Times New Roman" w:cs="Times New Roman"/>
          <w:color w:val="000000"/>
          <w:sz w:val="24"/>
          <w:szCs w:val="24"/>
          <w:lang w:eastAsia="es-CO"/>
        </w:rPr>
      </w:pPr>
      <w:r w:rsidRPr="004C6265">
        <w:rPr>
          <w:rFonts w:ascii="Times New Roman" w:eastAsia="Times New Roman" w:hAnsi="Times New Roman" w:cs="Times New Roman"/>
          <w:color w:val="000000"/>
          <w:sz w:val="24"/>
          <w:szCs w:val="24"/>
          <w:lang w:eastAsia="es-CO"/>
        </w:rPr>
        <w:t>La Corte consideró que las dos primeras medidas fueron instituidas con la finalidad de incentivar el consumo, objetivo materialmente conectado con las acciones destinadas a impulsar la reactivación del comercio, como uno de los sectores más impactados por la crisis económica. En sentido similar, estimó que la tercera medida tiene el propósito de aliviar los impactos derivados de la caída sistemática de las ventas, que se reflejan en afectaciones como la imposibilidad de asumir altos costos de arrendamiento y en la obligación de clausurar los establecimientos de comercio.</w:t>
      </w:r>
    </w:p>
    <w:p w14:paraId="671F870E" w14:textId="77777777" w:rsidR="004C6265" w:rsidRPr="004C6265" w:rsidRDefault="004C6265" w:rsidP="004C6265">
      <w:pPr>
        <w:spacing w:after="0" w:line="240" w:lineRule="auto"/>
        <w:jc w:val="both"/>
        <w:rPr>
          <w:rFonts w:ascii="Times New Roman" w:eastAsia="Times New Roman" w:hAnsi="Times New Roman" w:cs="Times New Roman"/>
          <w:color w:val="000000"/>
          <w:sz w:val="24"/>
          <w:szCs w:val="24"/>
          <w:lang w:eastAsia="es-CO"/>
        </w:rPr>
      </w:pPr>
      <w:r w:rsidRPr="004C6265">
        <w:rPr>
          <w:rFonts w:ascii="Times New Roman" w:eastAsia="Times New Roman" w:hAnsi="Times New Roman" w:cs="Times New Roman"/>
          <w:color w:val="000000"/>
          <w:sz w:val="24"/>
          <w:szCs w:val="24"/>
          <w:lang w:eastAsia="es-CO"/>
        </w:rPr>
        <w:t> </w:t>
      </w:r>
    </w:p>
    <w:p w14:paraId="3F8D117B" w14:textId="77777777" w:rsidR="004C6265" w:rsidRPr="004C6265" w:rsidRDefault="004C6265" w:rsidP="004C6265">
      <w:pPr>
        <w:spacing w:after="0" w:line="240" w:lineRule="auto"/>
        <w:jc w:val="both"/>
        <w:rPr>
          <w:rFonts w:ascii="Times New Roman" w:eastAsia="Times New Roman" w:hAnsi="Times New Roman" w:cs="Times New Roman"/>
          <w:color w:val="000000"/>
          <w:sz w:val="24"/>
          <w:szCs w:val="24"/>
          <w:lang w:eastAsia="es-CO"/>
        </w:rPr>
      </w:pPr>
      <w:r w:rsidRPr="004C6265">
        <w:rPr>
          <w:rFonts w:ascii="Times New Roman" w:eastAsia="Times New Roman" w:hAnsi="Times New Roman" w:cs="Times New Roman"/>
          <w:color w:val="000000"/>
          <w:sz w:val="24"/>
          <w:szCs w:val="24"/>
          <w:lang w:eastAsia="es-CO"/>
        </w:rPr>
        <w:t>Añade la Sala Plena que encontró que las tres medidas son transitorias, se encuentran sometidas a límites y requisitos, así como a controles para su aplicación, además de no comportar un gran desmedro al recaudo del presente año fiscal. Señaló que, en cambio, tienen la potencialidad de incidir en la reactivación y el mantenimiento del sector</w:t>
      </w:r>
    </w:p>
    <w:p w14:paraId="5B50652A" w14:textId="77777777" w:rsidR="004C6265" w:rsidRPr="004C6265" w:rsidRDefault="004C6265">
      <w:pPr>
        <w:rPr>
          <w:rFonts w:ascii="Times New Roman" w:hAnsi="Times New Roman" w:cs="Times New Roman"/>
          <w:color w:val="000000"/>
          <w:sz w:val="24"/>
          <w:szCs w:val="24"/>
          <w:shd w:val="clear" w:color="auto" w:fill="FFFFFF"/>
        </w:rPr>
      </w:pPr>
    </w:p>
    <w:p w14:paraId="18FE5F80" w14:textId="0516EB60" w:rsidR="007F5CC8" w:rsidRPr="004C6265" w:rsidRDefault="004C6265">
      <w:pPr>
        <w:rPr>
          <w:rFonts w:ascii="Times New Roman" w:hAnsi="Times New Roman" w:cs="Times New Roman"/>
          <w:sz w:val="24"/>
          <w:szCs w:val="24"/>
        </w:rPr>
      </w:pPr>
      <w:r w:rsidRPr="004C6265">
        <w:rPr>
          <w:rFonts w:ascii="Times New Roman" w:hAnsi="Times New Roman" w:cs="Times New Roman"/>
          <w:color w:val="000000"/>
          <w:sz w:val="24"/>
          <w:szCs w:val="24"/>
          <w:shd w:val="clear" w:color="auto" w:fill="FFFFFF"/>
        </w:rPr>
        <w:t>comercial, lo cual se torna constitucionalmente relevante en relación con el propósito de la superación de la crisis.</w:t>
      </w:r>
    </w:p>
    <w:sectPr w:rsidR="007F5CC8" w:rsidRPr="004C6265"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265"/>
    <w:rsid w:val="000F3837"/>
    <w:rsid w:val="001E311E"/>
    <w:rsid w:val="00434AE6"/>
    <w:rsid w:val="004C6265"/>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8A6E4"/>
  <w15:chartTrackingRefBased/>
  <w15:docId w15:val="{B6AE5C6A-0605-45B4-91E5-11DF355AD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12037">
      <w:bodyDiv w:val="1"/>
      <w:marLeft w:val="0"/>
      <w:marRight w:val="0"/>
      <w:marTop w:val="0"/>
      <w:marBottom w:val="0"/>
      <w:divBdr>
        <w:top w:val="none" w:sz="0" w:space="0" w:color="auto"/>
        <w:left w:val="none" w:sz="0" w:space="0" w:color="auto"/>
        <w:bottom w:val="none" w:sz="0" w:space="0" w:color="auto"/>
        <w:right w:val="none" w:sz="0" w:space="0" w:color="auto"/>
      </w:divBdr>
    </w:div>
    <w:div w:id="59082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1792</Characters>
  <Application>Microsoft Office Word</Application>
  <DocSecurity>0</DocSecurity>
  <Lines>14</Lines>
  <Paragraphs>4</Paragraphs>
  <ScaleCrop>false</ScaleCrop>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2020-10-06T15:07:00Z</dcterms:created>
  <dcterms:modified xsi:type="dcterms:W3CDTF">2020-10-06T15:09:00Z</dcterms:modified>
</cp:coreProperties>
</file>